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1E" w:rsidRDefault="00C21C1E"/>
    <w:p w:rsidR="0018363E" w:rsidRDefault="0018363E" w:rsidP="0018363E">
      <w:pPr>
        <w:shd w:val="clear" w:color="auto" w:fill="FFFFFF"/>
        <w:spacing w:before="100" w:beforeAutospacing="1" w:after="107" w:line="252" w:lineRule="atLeast"/>
        <w:ind w:left="0" w:firstLine="0"/>
        <w:outlineLvl w:val="0"/>
        <w:rPr>
          <w:rFonts w:ascii="Segoe UI" w:eastAsia="Times New Roman" w:hAnsi="Segoe UI" w:cs="Segoe UI"/>
          <w:b/>
          <w:bCs/>
          <w:color w:val="312327"/>
          <w:kern w:val="36"/>
          <w:sz w:val="48"/>
          <w:szCs w:val="34"/>
          <w:u w:val="single"/>
          <w:lang w:eastAsia="fr-FR"/>
        </w:rPr>
      </w:pPr>
      <w:r w:rsidRPr="0018363E">
        <w:rPr>
          <w:rFonts w:ascii="Segoe UI" w:eastAsia="Times New Roman" w:hAnsi="Segoe UI" w:cs="Segoe UI"/>
          <w:b/>
          <w:bCs/>
          <w:color w:val="312327"/>
          <w:kern w:val="36"/>
          <w:sz w:val="48"/>
          <w:szCs w:val="34"/>
          <w:u w:val="single"/>
          <w:lang w:eastAsia="fr-FR"/>
        </w:rPr>
        <w:t>Réserves d’irrigation : mais où se cache l’agrobusiness ?</w:t>
      </w:r>
    </w:p>
    <w:p w:rsidR="0018363E" w:rsidRPr="0018363E" w:rsidRDefault="0018363E" w:rsidP="0018363E">
      <w:pPr>
        <w:shd w:val="clear" w:color="auto" w:fill="FFFFFF"/>
        <w:spacing w:before="100" w:beforeAutospacing="1" w:after="107" w:line="252" w:lineRule="atLeast"/>
        <w:ind w:left="0" w:firstLine="0"/>
        <w:outlineLvl w:val="0"/>
        <w:rPr>
          <w:rFonts w:ascii="Segoe UI" w:eastAsia="Times New Roman" w:hAnsi="Segoe UI" w:cs="Segoe UI"/>
          <w:b/>
          <w:bCs/>
          <w:color w:val="312327"/>
          <w:kern w:val="36"/>
          <w:sz w:val="48"/>
          <w:szCs w:val="34"/>
          <w:u w:val="single"/>
          <w:lang w:eastAsia="fr-FR"/>
        </w:rPr>
      </w:pPr>
    </w:p>
    <w:p w:rsidR="0018363E" w:rsidRPr="0018363E" w:rsidRDefault="0018363E" w:rsidP="0018363E">
      <w:pPr>
        <w:shd w:val="clear" w:color="auto" w:fill="FFFFFF"/>
        <w:spacing w:after="215" w:line="269" w:lineRule="atLeast"/>
        <w:ind w:left="0" w:firstLine="0"/>
        <w:rPr>
          <w:rFonts w:ascii="Arial" w:eastAsia="Times New Roman" w:hAnsi="Arial" w:cs="Arial"/>
          <w:color w:val="000000"/>
          <w:sz w:val="28"/>
          <w:szCs w:val="20"/>
          <w:lang w:eastAsia="fr-FR"/>
        </w:rPr>
      </w:pPr>
      <w:r w:rsidRPr="0018363E">
        <w:rPr>
          <w:rFonts w:ascii="Arial" w:eastAsia="Times New Roman" w:hAnsi="Arial" w:cs="Arial"/>
          <w:color w:val="000000"/>
          <w:sz w:val="28"/>
          <w:szCs w:val="20"/>
          <w:lang w:eastAsia="fr-FR"/>
        </w:rPr>
        <w:t>Chiffres à l’appui, une étude décrit les exploitations reliées aux réserves de substitution, les systèmes mis en place et leur évolution depuis vingt ans dans les Deux-Sèvres, loin du gigantisme décrit par les détracteurs.</w:t>
      </w:r>
    </w:p>
    <w:p w:rsidR="0018363E" w:rsidRPr="0018363E" w:rsidRDefault="0018363E" w:rsidP="0018363E">
      <w:pPr>
        <w:shd w:val="clear" w:color="auto" w:fill="FFFFFF"/>
        <w:ind w:left="0" w:firstLine="0"/>
        <w:rPr>
          <w:rFonts w:ascii="Segoe UI" w:eastAsia="Times New Roman" w:hAnsi="Segoe UI" w:cs="Segoe UI"/>
          <w:color w:val="000000"/>
          <w:sz w:val="17"/>
          <w:szCs w:val="17"/>
          <w:lang w:eastAsia="fr-FR"/>
        </w:rPr>
      </w:pPr>
    </w:p>
    <w:p w:rsidR="0018363E" w:rsidRPr="0018363E" w:rsidRDefault="0018363E" w:rsidP="0018363E">
      <w:pPr>
        <w:shd w:val="clear" w:color="auto" w:fill="FFFFFF"/>
        <w:ind w:left="0" w:firstLine="0"/>
        <w:jc w:val="both"/>
        <w:rPr>
          <w:rFonts w:eastAsia="Times New Roman" w:cstheme="minorHAnsi"/>
          <w:color w:val="000000"/>
          <w:sz w:val="32"/>
          <w:szCs w:val="17"/>
          <w:lang w:eastAsia="fr-FR"/>
        </w:rPr>
      </w:pPr>
      <w:r w:rsidRPr="0018363E">
        <w:rPr>
          <w:rFonts w:eastAsia="Times New Roman" w:cstheme="minorHAnsi"/>
          <w:color w:val="000000"/>
          <w:sz w:val="32"/>
          <w:szCs w:val="17"/>
          <w:lang w:eastAsia="fr-FR"/>
        </w:rPr>
        <w:t>L’eau garantie par les réserves permet aux agriculteurs de développer des cultures à forte valeur ajoutée, plutôt que de grandes exploitations. </w:t>
      </w:r>
    </w:p>
    <w:p w:rsid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Depuis déjà plusieurs années, les 16 réserves destinées à l’irrigation dans le sud des Deux-Sèvres font l’objet d’un ample mouvement d’opposition. </w:t>
      </w:r>
    </w:p>
    <w:p w:rsid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Il se traduit par un dénigrement systématique du projet, des manifestations massives, parfois des actes de sabotage, et par des arguments qui relèvent souvent des </w:t>
      </w:r>
      <w:proofErr w:type="spellStart"/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fake</w:t>
      </w:r>
      <w:proofErr w:type="spellEnd"/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-news. </w:t>
      </w:r>
    </w:p>
    <w:p w:rsid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Ainsi, les agriculteurs concernés par les 16 projets sont accusés notamment de faire une part trop belle au maïs et d’être des « </w:t>
      </w:r>
      <w:proofErr w:type="spellStart"/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agrobusinessmen</w:t>
      </w:r>
      <w:proofErr w:type="spellEnd"/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 ». </w:t>
      </w:r>
    </w:p>
    <w:p w:rsidR="0018363E" w:rsidRP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Une étude de la chambre régionale d’agriculture a été réalisée à partir des diagnostics établis sur les 26 exploitations engagées dans la réserve de Sainte-Soline.</w:t>
      </w:r>
    </w:p>
    <w:p w:rsid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Sur ces 26 fermes, 15 sont céréalières, 11 des élevages. À noter que depuis 2018, elles ont connu deux cessations et quatre installations, le contraire de l’accaparement des terres qu’on leur reproche. </w:t>
      </w:r>
    </w:p>
    <w:p w:rsidR="0018363E" w:rsidRP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La surface moyenne est de 80 hectares par actif agricole. La plus grande compte 175 ha/ETP (équivalent temps plein) et les huit plus petites disposent de moins de 60 ha/ETP. Leurs chiffres d’affaires, eux, sont légèrement inférieurs à ceux des systèmes de grandes </w:t>
      </w: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lastRenderedPageBreak/>
        <w:t xml:space="preserve">cultures et polyculture-élevage présents dans le Poitou-Charentes. Quant aux aides </w:t>
      </w:r>
      <w:proofErr w:type="spellStart"/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Pac</w:t>
      </w:r>
      <w:proofErr w:type="spellEnd"/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, elles représentent 22 000 €/ETP, un chiffre équivalent à celui des exploitants hors réserve. Ce qui les classe parmi les exploitations moyennes, similaires à leurs voisines.</w:t>
      </w:r>
    </w:p>
    <w:p w:rsidR="0018363E" w:rsidRPr="0018363E" w:rsidRDefault="0018363E" w:rsidP="0018363E">
      <w:pPr>
        <w:shd w:val="clear" w:color="auto" w:fill="FFFFFF"/>
        <w:spacing w:before="430" w:after="86"/>
        <w:ind w:left="0" w:firstLine="0"/>
        <w:jc w:val="both"/>
        <w:outlineLvl w:val="1"/>
        <w:rPr>
          <w:rFonts w:eastAsia="Times New Roman" w:cstheme="minorHAnsi"/>
          <w:b/>
          <w:bCs/>
          <w:color w:val="000000"/>
          <w:sz w:val="40"/>
          <w:lang w:eastAsia="fr-FR"/>
        </w:rPr>
      </w:pPr>
      <w:r w:rsidRPr="0018363E">
        <w:rPr>
          <w:rFonts w:eastAsia="Times New Roman" w:cstheme="minorHAnsi"/>
          <w:b/>
          <w:bCs/>
          <w:color w:val="000000"/>
          <w:sz w:val="40"/>
          <w:lang w:eastAsia="fr-FR"/>
        </w:rPr>
        <w:t>Davantage de diversité</w:t>
      </w:r>
    </w:p>
    <w:p w:rsid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Les volumes d’eau liés à la réserve sont de 1,26 million de mètres cubes, dont 628 000 m³ stockés. </w:t>
      </w:r>
    </w:p>
    <w:p w:rsidR="0018363E" w:rsidRP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Cela représente 48 500 m³ par exploitation, un volume inférieur d’un tiers à la moyenne des irrigants du bassin et 26 500 m³ par ETP. Seules 3 exploitations dépassent les 50 000 m³/ETP. Là où elles diffèrent en revanche, c’est sur la variété de leurs cultures et la valeur ajoutée qu’elles produisent. L’irrigation leur a permis d’allonger leurs assolements et d’y introduire davantage de diversité, notamment avec la production de semences, de légumes et du bio.</w:t>
      </w:r>
    </w:p>
    <w:p w:rsid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Enfin, le règlement intérieur qui régit les 16 réserves a revu son règlement intérieur pour donner la priorité aux installations, au maraîchage, à l’élevage et au bio. « Les priorités autour des réserves peuvent évoluer sur un même territoire, souligne Thierry </w:t>
      </w:r>
      <w:proofErr w:type="spellStart"/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Boudaud</w:t>
      </w:r>
      <w:proofErr w:type="spellEnd"/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 xml:space="preserve">, président de la Coop de l’eau. </w:t>
      </w:r>
    </w:p>
    <w:p w:rsidR="0018363E" w:rsidRDefault="0018363E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 w:rsidRPr="0018363E">
        <w:rPr>
          <w:rFonts w:eastAsia="Times New Roman" w:cstheme="minorHAnsi"/>
          <w:color w:val="312327"/>
          <w:sz w:val="32"/>
          <w:szCs w:val="19"/>
          <w:lang w:eastAsia="fr-FR"/>
        </w:rPr>
        <w:t>Sans ces outils d’adaptation, on se retrouverait avec deux fermes de 1 000 hectares par commune. »</w:t>
      </w:r>
    </w:p>
    <w:p w:rsidR="007D48D5" w:rsidRDefault="007D48D5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</w:p>
    <w:p w:rsidR="007D48D5" w:rsidRDefault="007D48D5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>
        <w:rPr>
          <w:rFonts w:eastAsia="Times New Roman" w:cstheme="minorHAnsi"/>
          <w:color w:val="312327"/>
          <w:sz w:val="32"/>
          <w:szCs w:val="19"/>
          <w:lang w:eastAsia="fr-FR"/>
        </w:rPr>
        <w:t xml:space="preserve">La France Agricole </w:t>
      </w:r>
    </w:p>
    <w:p w:rsidR="007D48D5" w:rsidRPr="0018363E" w:rsidRDefault="007D48D5" w:rsidP="0018363E">
      <w:pPr>
        <w:shd w:val="clear" w:color="auto" w:fill="FFFFFF"/>
        <w:spacing w:before="54" w:after="215" w:line="360" w:lineRule="atLeast"/>
        <w:ind w:left="0" w:firstLine="0"/>
        <w:jc w:val="both"/>
        <w:rPr>
          <w:rFonts w:eastAsia="Times New Roman" w:cstheme="minorHAnsi"/>
          <w:color w:val="312327"/>
          <w:sz w:val="32"/>
          <w:szCs w:val="19"/>
          <w:lang w:eastAsia="fr-FR"/>
        </w:rPr>
      </w:pPr>
      <w:r>
        <w:rPr>
          <w:rFonts w:eastAsia="Times New Roman" w:cstheme="minorHAnsi"/>
          <w:color w:val="312327"/>
          <w:sz w:val="32"/>
          <w:szCs w:val="19"/>
          <w:lang w:eastAsia="fr-FR"/>
        </w:rPr>
        <w:t xml:space="preserve">Publié le 10 </w:t>
      </w:r>
      <w:proofErr w:type="spellStart"/>
      <w:r>
        <w:rPr>
          <w:rFonts w:eastAsia="Times New Roman" w:cstheme="minorHAnsi"/>
          <w:color w:val="312327"/>
          <w:sz w:val="32"/>
          <w:szCs w:val="19"/>
          <w:lang w:eastAsia="fr-FR"/>
        </w:rPr>
        <w:t>10</w:t>
      </w:r>
      <w:proofErr w:type="spellEnd"/>
      <w:r>
        <w:rPr>
          <w:rFonts w:eastAsia="Times New Roman" w:cstheme="minorHAnsi"/>
          <w:color w:val="312327"/>
          <w:sz w:val="32"/>
          <w:szCs w:val="19"/>
          <w:lang w:eastAsia="fr-FR"/>
        </w:rPr>
        <w:t xml:space="preserve"> 2023</w:t>
      </w:r>
    </w:p>
    <w:p w:rsidR="0018363E" w:rsidRPr="0018363E" w:rsidRDefault="0018363E" w:rsidP="0018363E">
      <w:pPr>
        <w:jc w:val="both"/>
        <w:rPr>
          <w:rFonts w:cstheme="minorHAnsi"/>
          <w:sz w:val="40"/>
        </w:rPr>
      </w:pPr>
    </w:p>
    <w:sectPr w:rsidR="0018363E" w:rsidRPr="0018363E" w:rsidSect="00C2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5A7"/>
    <w:multiLevelType w:val="multilevel"/>
    <w:tmpl w:val="26D2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63E"/>
    <w:rsid w:val="0018363E"/>
    <w:rsid w:val="004E609F"/>
    <w:rsid w:val="007D48D5"/>
    <w:rsid w:val="00C2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1E"/>
  </w:style>
  <w:style w:type="paragraph" w:styleId="Titre1">
    <w:name w:val="heading 1"/>
    <w:basedOn w:val="Normal"/>
    <w:link w:val="Titre1Car"/>
    <w:uiPriority w:val="9"/>
    <w:qFormat/>
    <w:rsid w:val="0018363E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8363E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63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836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-block">
    <w:name w:val="d-block"/>
    <w:basedOn w:val="Normal"/>
    <w:rsid w:val="0018363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-abo">
    <w:name w:val="color-abo"/>
    <w:basedOn w:val="Policepardfaut"/>
    <w:rsid w:val="0018363E"/>
  </w:style>
  <w:style w:type="character" w:customStyle="1" w:styleId="copyright">
    <w:name w:val="copyright"/>
    <w:basedOn w:val="Policepardfaut"/>
    <w:rsid w:val="0018363E"/>
  </w:style>
  <w:style w:type="paragraph" w:styleId="NormalWeb">
    <w:name w:val="Normal (Web)"/>
    <w:basedOn w:val="Normal"/>
    <w:uiPriority w:val="99"/>
    <w:semiHidden/>
    <w:unhideWhenUsed/>
    <w:rsid w:val="0018363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6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2027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olivebony@gmail.com</dc:creator>
  <cp:lastModifiedBy>olivebony@gmail.com</cp:lastModifiedBy>
  <cp:revision>1</cp:revision>
  <dcterms:created xsi:type="dcterms:W3CDTF">2025-08-15T09:49:00Z</dcterms:created>
  <dcterms:modified xsi:type="dcterms:W3CDTF">2025-08-15T09:55:00Z</dcterms:modified>
</cp:coreProperties>
</file>